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763FFB2" w:rsidR="00D6147A" w:rsidRDefault="001B1E8B" w:rsidP="001B1E8B">
      <w:hyperlink r:id="rId6" w:history="1">
        <w:r w:rsidRPr="00C7030C">
          <w:rPr>
            <w:rStyle w:val="Collegamentoipertestuale"/>
          </w:rPr>
          <w:t>https://www.lavocedimanduria.it/adnkronos/dazi-panetta-danneggiano-anche-chi-li-avvia-possibile-siano-leva-negoziale-usa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1E8B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81C06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36B0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06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2749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17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791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4472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1949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846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1035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000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663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45372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50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vocedimanduria.it/adnkronos/dazi-panetta-danneggiano-anche-chi-li-avvia-possibile-siano-leva-negoziale-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2025-02-18T12:50:00Z</dcterms:created>
  <dcterms:modified xsi:type="dcterms:W3CDTF">2025-02-18T13:31:00Z</dcterms:modified>
</cp:coreProperties>
</file>